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0"/>
      </w:tblGrid>
      <w:tr w:rsidR="006C1A62" w:rsidRPr="00EE35FF" w:rsidTr="00EE35F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6C1A62" w:rsidRPr="00EE35FF" w:rsidRDefault="00437C8F" w:rsidP="00EE35FF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866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A62" w:rsidRPr="00EE35FF" w:rsidTr="00EE35F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6C1A62" w:rsidRPr="00EE35FF" w:rsidRDefault="00482A51" w:rsidP="00EE35FF">
            <w:pPr>
              <w:spacing w:before="240" w:after="240" w:line="240" w:lineRule="auto"/>
              <w:textAlignment w:val="bottom"/>
            </w:pPr>
            <w:r w:rsidRPr="00EE35FF">
              <w:rPr>
                <w:b/>
                <w:color w:val="000000"/>
                <w:sz w:val="24"/>
                <w:szCs w:val="24"/>
              </w:rPr>
              <w:t>For 30 block credit transfer</w:t>
            </w:r>
            <w:r w:rsidRPr="00EE35FF">
              <w:rPr>
                <w:color w:val="000000"/>
                <w:sz w:val="24"/>
                <w:szCs w:val="24"/>
              </w:rPr>
              <w:t xml:space="preserve"> - Non-Business Diploma holders</w:t>
            </w:r>
            <w:bookmarkStart w:id="0" w:name="_GoBack"/>
            <w:bookmarkEnd w:id="0"/>
          </w:p>
          <w:p w:rsidR="006C1A62" w:rsidRPr="00EE35FF" w:rsidRDefault="00482A51" w:rsidP="00EE35FF">
            <w:pPr>
              <w:spacing w:before="240" w:after="240" w:line="240" w:lineRule="auto"/>
              <w:textAlignment w:val="bottom"/>
            </w:pPr>
            <w:r w:rsidRPr="00EE35FF"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 w:rsidRPr="00EE35FF">
              <w:rPr>
                <w:color w:val="000000"/>
                <w:sz w:val="24"/>
                <w:szCs w:val="24"/>
              </w:rPr>
              <w:br/>
            </w:r>
            <w:r w:rsidRPr="00EE35FF"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 w:rsidRPr="00EE35FF"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 w:rsidRPr="00EE35FF"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7"/>
              <w:gridCol w:w="828"/>
              <w:gridCol w:w="2134"/>
              <w:gridCol w:w="1444"/>
              <w:gridCol w:w="1145"/>
              <w:gridCol w:w="4724"/>
            </w:tblGrid>
            <w:tr w:rsidR="006C1A62" w:rsidRPr="00EE35FF" w:rsidTr="00EE35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 w:rsidRPr="00EE35FF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EE35FF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2014/2015</w:t>
                  </w:r>
                  <w:r w:rsidR="00482A51"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482A51" w:rsidRPr="00EE35FF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2014</w:t>
                  </w:r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</w:t>
                  </w:r>
                  <w:hyperlink r:id="rId11" w:history="1">
                    <w:r w:rsidR="00482A51" w:rsidRPr="00EE35FF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6C1A62" w:rsidRPr="00EE35FF" w:rsidTr="00EE35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Minimum block transfer award for an approved </w:t>
                  </w: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non-business diploma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Bridging Courses</w:t>
                  </w:r>
                </w:p>
              </w:tc>
            </w:tr>
            <w:tr w:rsidR="006C1A62" w:rsidRPr="00EE35FF" w:rsidTr="00EE35F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2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3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4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5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6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7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18" w:history="1">
                    <w:r w:rsidRPr="00D86D8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Pr="00D86D8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t xml:space="preserve"> </w:t>
                  </w:r>
                  <w:hyperlink r:id="rId20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1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2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MATH215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5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strongly recommended.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6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7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8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29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30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31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2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3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34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36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37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482A51"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8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39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0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1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2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3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4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5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6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47" w:anchor="econ" w:history="1">
                    <w:r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48" w:anchor="fnce" w:history="1">
                    <w:r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49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 Administrative Studies</w:t>
                    </w:r>
                  </w:hyperlink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50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51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8D3DFA" w:rsidP="00EE35FF">
                  <w:pPr>
                    <w:spacing w:after="0" w:line="240" w:lineRule="auto"/>
                  </w:pPr>
                  <w:hyperlink r:id="rId52" w:history="1">
                    <w:r w:rsidR="00482A51"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  <w:jc w:val="center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Last course in program - Must be taken with AU</w:t>
                  </w:r>
                </w:p>
              </w:tc>
            </w:tr>
          </w:tbl>
          <w:p w:rsidR="006C1A62" w:rsidRPr="00EE35FF" w:rsidRDefault="006C1A62" w:rsidP="00EE35FF">
            <w:pPr>
              <w:spacing w:after="0" w:line="240" w:lineRule="auto"/>
            </w:pPr>
          </w:p>
          <w:p w:rsidR="006C1A62" w:rsidRPr="00EE35FF" w:rsidRDefault="006C1A62" w:rsidP="00EE35FF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42"/>
            </w:tblGrid>
            <w:tr w:rsidR="006C1A62" w:rsidRPr="00EE35FF" w:rsidTr="00EE35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6C1A62" w:rsidRPr="00EE35FF" w:rsidRDefault="00482A51" w:rsidP="00EE35FF">
                  <w:pPr>
                    <w:spacing w:after="0" w:line="240" w:lineRule="auto"/>
                  </w:pPr>
                  <w:r w:rsidRPr="00EE35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53" w:history="1">
                    <w:r w:rsidRPr="00EE35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 w:rsidRPr="00EE35FF"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6C1A62" w:rsidRPr="00EE35FF" w:rsidRDefault="006C1A62" w:rsidP="00EE35FF">
            <w:pPr>
              <w:spacing w:after="0" w:line="240" w:lineRule="auto"/>
            </w:pPr>
          </w:p>
          <w:p w:rsidR="006C1A62" w:rsidRPr="00EE35FF" w:rsidRDefault="006C1A62" w:rsidP="00EE35FF">
            <w:pPr>
              <w:spacing w:before="240" w:after="240" w:line="240" w:lineRule="auto"/>
              <w:jc w:val="center"/>
              <w:textAlignment w:val="bottom"/>
            </w:pPr>
          </w:p>
        </w:tc>
      </w:tr>
    </w:tbl>
    <w:p w:rsidR="00482A51" w:rsidRDefault="00482A51"/>
    <w:sectPr w:rsidR="00482A5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19" w:rsidRDefault="00820F19" w:rsidP="00482A51">
      <w:pPr>
        <w:spacing w:after="0" w:line="240" w:lineRule="auto"/>
      </w:pPr>
      <w:r>
        <w:separator/>
      </w:r>
    </w:p>
  </w:endnote>
  <w:endnote w:type="continuationSeparator" w:id="0">
    <w:p w:rsidR="00820F19" w:rsidRDefault="00820F19" w:rsidP="0048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19" w:rsidRDefault="00820F19" w:rsidP="00482A51">
      <w:pPr>
        <w:spacing w:after="0" w:line="240" w:lineRule="auto"/>
      </w:pPr>
      <w:r>
        <w:separator/>
      </w:r>
    </w:p>
  </w:footnote>
  <w:footnote w:type="continuationSeparator" w:id="0">
    <w:p w:rsidR="00820F19" w:rsidRDefault="00820F19" w:rsidP="0048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37C8F"/>
    <w:rsid w:val="00482A51"/>
    <w:rsid w:val="00493A0C"/>
    <w:rsid w:val="004D6B48"/>
    <w:rsid w:val="00531A4E"/>
    <w:rsid w:val="00535F5A"/>
    <w:rsid w:val="00555F58"/>
    <w:rsid w:val="006C1A62"/>
    <w:rsid w:val="006E6663"/>
    <w:rsid w:val="00820F19"/>
    <w:rsid w:val="008B3AC2"/>
    <w:rsid w:val="008D3DFA"/>
    <w:rsid w:val="008F680D"/>
    <w:rsid w:val="00AC197E"/>
    <w:rsid w:val="00B21D59"/>
    <w:rsid w:val="00BD419F"/>
    <w:rsid w:val="00DF064E"/>
    <w:rsid w:val="00EE35F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0709B-99E7-4925-A48D-F73E1C36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fnce/fnce401.htm" TargetMode="External"/><Relationship Id="rId47" Type="http://schemas.openxmlformats.org/officeDocument/2006/relationships/hyperlink" Target="http://www.athabascau.ca/course/ug_subject/list_ef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mgsc/mgsc4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econ/econ476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econ/econ385.htm" TargetMode="External"/><Relationship Id="rId45" Type="http://schemas.openxmlformats.org/officeDocument/2006/relationships/hyperlink" Target="http://www.athabascau.ca/html/syllabi/fnce/fnce47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4/page03_06_06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5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fnce/fnce403.htm" TargetMode="External"/><Relationship Id="rId48" Type="http://schemas.openxmlformats.org/officeDocument/2006/relationships/hyperlink" Target="http://www.athabascau.ca/course/ug_subject/list_ef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95EC-6455-4232-8880-C69CCE9D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4891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5737</CharactersWithSpaces>
  <SharedDoc>false</SharedDoc>
  <HLinks>
    <vt:vector size="258" baseType="variant">
      <vt:variant>
        <vt:i4>7077938</vt:i4>
      </vt:variant>
      <vt:variant>
        <vt:i4>126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123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120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117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114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1900612</vt:i4>
      </vt:variant>
      <vt:variant>
        <vt:i4>111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fnce</vt:lpwstr>
      </vt:variant>
      <vt:variant>
        <vt:i4>1769547</vt:i4>
      </vt:variant>
      <vt:variant>
        <vt:i4>108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econ</vt:lpwstr>
      </vt:variant>
      <vt:variant>
        <vt:i4>7405614</vt:i4>
      </vt:variant>
      <vt:variant>
        <vt:i4>105</vt:i4>
      </vt:variant>
      <vt:variant>
        <vt:i4>0</vt:i4>
      </vt:variant>
      <vt:variant>
        <vt:i4>5</vt:i4>
      </vt:variant>
      <vt:variant>
        <vt:lpwstr>http://www.athabascau.ca/html/syllabi/mgsc/mgsc405.htm</vt:lpwstr>
      </vt:variant>
      <vt:variant>
        <vt:lpwstr/>
      </vt:variant>
      <vt:variant>
        <vt:i4>6291517</vt:i4>
      </vt:variant>
      <vt:variant>
        <vt:i4>102</vt:i4>
      </vt:variant>
      <vt:variant>
        <vt:i4>0</vt:i4>
      </vt:variant>
      <vt:variant>
        <vt:i4>5</vt:i4>
      </vt:variant>
      <vt:variant>
        <vt:lpwstr>http://www.athabascau.ca/html/syllabi/fnce/fnce470.htm</vt:lpwstr>
      </vt:variant>
      <vt:variant>
        <vt:lpwstr/>
      </vt:variant>
      <vt:variant>
        <vt:i4>6619194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http://www.athabascau.ca/html/syllabi/fnce/fnce405.htm</vt:lpwstr>
      </vt:variant>
      <vt:variant>
        <vt:lpwstr/>
      </vt:variant>
      <vt:variant>
        <vt:i4>6488122</vt:i4>
      </vt:variant>
      <vt:variant>
        <vt:i4>96</vt:i4>
      </vt:variant>
      <vt:variant>
        <vt:i4>0</vt:i4>
      </vt:variant>
      <vt:variant>
        <vt:i4>5</vt:i4>
      </vt:variant>
      <vt:variant>
        <vt:lpwstr>http://www.athabascau.ca/html/syllabi/fnce/fnce403.htm</vt:lpwstr>
      </vt:variant>
      <vt:variant>
        <vt:lpwstr/>
      </vt:variant>
      <vt:variant>
        <vt:i4>6357050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http://www.athabascau.ca/html/syllabi/fnce/fnce401.htm</vt:lpwstr>
      </vt:variant>
      <vt:variant>
        <vt:lpwstr/>
      </vt:variant>
      <vt:variant>
        <vt:i4>7274548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http://www.athabascau.ca/html/syllabi/econ/econ476.htm</vt:lpwstr>
      </vt:variant>
      <vt:variant>
        <vt:lpwstr/>
      </vt:variant>
      <vt:variant>
        <vt:i4>7012411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http://www.athabascau.ca/html/syllabi/econ/econ385.htm</vt:lpwstr>
      </vt:variant>
      <vt:variant>
        <vt:lpwstr/>
      </vt:variant>
      <vt:variant>
        <vt:i4>7995432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7995432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7405615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http://www.athabascau.ca/html/syllabi/mgsc/mgsc312.htm</vt:lpwstr>
      </vt:variant>
      <vt:variant>
        <vt:lpwstr/>
      </vt:variant>
      <vt:variant>
        <vt:i4>7864354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7864355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http://www.athabascau.ca/html/syllabi/math/math270.htm</vt:lpwstr>
      </vt:variant>
      <vt:variant>
        <vt:lpwstr/>
      </vt:variant>
      <vt:variant>
        <vt:i4>7864354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8126496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http://www.athabascau.ca/html/syllabi/math/math244.htm</vt:lpwstr>
      </vt:variant>
      <vt:variant>
        <vt:lpwstr/>
      </vt:variant>
      <vt:variant>
        <vt:i4>8192034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http://www.athabascau.ca/html/syllabi/math/math265.htm</vt:lpwstr>
      </vt:variant>
      <vt:variant>
        <vt:lpwstr/>
      </vt:variant>
      <vt:variant>
        <vt:i4>6750269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8126501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7995428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http://www.athabascau.ca/html/syllabi/acct/acct356.htm</vt:lpwstr>
      </vt:variant>
      <vt:variant>
        <vt:lpwstr/>
      </vt:variant>
      <vt:variant>
        <vt:i4>7929892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http://www.athabascau.ca/html/syllabi/acct/acct355.htm</vt:lpwstr>
      </vt:variant>
      <vt:variant>
        <vt:lpwstr/>
      </vt:variant>
      <vt:variant>
        <vt:i4>7667754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7471150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7471150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7077946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http://www.athabascau.ca/html/syllabi/comm/comm329.htm</vt:lpwstr>
      </vt:variant>
      <vt:variant>
        <vt:lpwstr/>
      </vt:variant>
      <vt:variant>
        <vt:i4>6750263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http://www.athabascau.ca/html/syllabi/econ/econ248.htm</vt:lpwstr>
      </vt:variant>
      <vt:variant>
        <vt:lpwstr/>
      </vt:variant>
      <vt:variant>
        <vt:i4>6815799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7929892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http://www.athabascau.ca/html/syllabi/cmis/cmis245.htm</vt:lpwstr>
      </vt:variant>
      <vt:variant>
        <vt:lpwstr/>
      </vt:variant>
      <vt:variant>
        <vt:i4>8257572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http://www.athabascau.ca/html/syllabi/admn/admn233.htm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http://calendar.athabascau.ca/undergrad/2014/page03_06_06.php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2017-02-17T21:04:00Z</dcterms:created>
  <dcterms:modified xsi:type="dcterms:W3CDTF">2017-02-17T21:04:00Z</dcterms:modified>
</cp:coreProperties>
</file>