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19076719" name="name1531f6e4ee1aa2" descr="programplan2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7.jpg"/>
                          <pic:cNvPicPr/>
                        </pic:nvPicPr>
                        <pic:blipFill>
                          <a:blip r:embed="rId1531f6e4ee1a66"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1f6e4ee1d2e"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1f6e4ee1e69"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1f6e4ee1f8a" w:history="1">
              <w:r>
                <w:rPr>
                  <w:rFonts w:ascii="verdana" w:hAnsi="verdana" w:cs="verdana"/>
                  <w:b/>
                  <w:color w:val="006600"/>
                  <w:position w:val="-2"/>
                  <w:sz w:val="17"/>
                  <w:szCs w:val="17"/>
                </w:rPr>
                <w:t xml:space="preserve">2007/2008 Program Plans</w:t>
              </w:r>
            </w:hyperlink>
            <w:r>
              <w:rPr>
                <w:rFonts w:ascii="verdana" w:hAnsi="verdana" w:cs="verdana"/>
                <w:color w:val="000000"/>
                <w:position w:val="-2"/>
                <w:sz w:val="17"/>
                <w:szCs w:val="17"/>
              </w:rPr>
              <w:t xml:space="preserve"> | </w:t>
            </w:r>
            <w:hyperlink r:id="rId1531f6e4ee20a8"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1f6e4ee22e3"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w:t>
            </w:r>
            <w:r>
              <w:br/>
              <w:br/>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General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2007/2008 Calendar Requirements -</w:t>
                  </w:r>
                  <w:r>
                    <w:rPr>
                      <w:rFonts w:ascii="verdana" w:hAnsi="verdana" w:cs="verdana"/>
                      <w:color w:val="000000"/>
                      <w:position w:val="-2"/>
                      <w:sz w:val="17"/>
                      <w:szCs w:val="17"/>
                    </w:rPr>
                    <w:t xml:space="preserve"> effective Sept. 1, 2007</w:t>
                  </w:r>
                </w:p>
              </w:tc>
            </w:tr>
            <w:tr>
              <w:trPr>
                <w:trHeight w:val="0" w:hRule="atLeast"/>
                <w:jc w:val="left"/>
              </w:trPr>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Junior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31dc" w:history="1">
                    <w:r>
                      <w:rPr>
                        <w:rFonts w:ascii="verdana" w:hAnsi="verdana" w:cs="verdana"/>
                        <w:color w:val="006600"/>
                        <w:position w:val="-2"/>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English Writing Requirement </w:t>
                  </w:r>
                  <w:r>
                    <w:rPr>
                      <w:rFonts w:ascii="verdana" w:hAnsi="verdana" w:cs="verdana"/>
                      <w:color w:val="006600"/>
                      <w:position w:val="-2"/>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(see the calendar)</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3c2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42b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493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4fa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562c"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5ca7"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6320"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6999" w:history="1">
                    <w:r>
                      <w:rPr>
                        <w:rFonts w:ascii="verdana" w:hAnsi="verdana" w:cs="verdana"/>
                        <w:color w:val="006600"/>
                        <w:position w:val="-2"/>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701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768c" w:history="1">
                    <w:r>
                      <w:rPr>
                        <w:rFonts w:ascii="verdana" w:hAnsi="verdana" w:cs="verdana"/>
                        <w:color w:val="006600"/>
                        <w:position w:val="-2"/>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832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8433"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8ace"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8be2"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92a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93b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9a8d"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9bb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a29a"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a3a7"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aa82"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ab9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b26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b37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ba57"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bb68"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c24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c356"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ca2f"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cb3c"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d21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d32b"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da0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db15"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e1e9"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e2f4"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6e4eee9c1"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w:t>
                  </w:r>
                  <w:hyperlink r:id="rId1531f6e4eeeacf"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Any area of study</w:t>
                  </w:r>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1f6e4ef0be6" w:history="1">
                    <w:r>
                      <w:rPr>
                        <w:rFonts w:ascii="verdana" w:hAnsi="verdana" w:cs="verdana"/>
                        <w:color w:val="006600"/>
                        <w:position w:val="-2"/>
                        <w:sz w:val="17"/>
                        <w:szCs w:val="17"/>
                      </w:rPr>
                      <w:t xml:space="preserve">English writing requirement</w:t>
                    </w:r>
                  </w:hyperlink>
                </w:p>
              </w:tc>
            </w:tr>
          </w:tbl>
          <w:p/>
          <w:p/>
          <w:p>
            <w:pPr>
              <w:widowControl w:val="on"/>
              <w:pBdr/>
              <w:spacing w:before="0" w:after="0" w:line="240" w:lineRule="auto"/>
              <w:ind w:left="0" w:right="0"/>
              <w:jc w:val="left"/>
            </w:pPr>
            <w:r>
              <w:rPr>
                <w:rFonts w:ascii="verdana" w:hAnsi="verdana" w:cs="verdana"/>
                <w:color w:val="000000"/>
                <w:position w:val="0"/>
                <w:sz w:val="17"/>
                <w:szCs w:val="17"/>
              </w:rPr>
              <w:t xml:space="preserve">
</w:t>
            </w:r>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Minimum Credits Required (B.A. - General)</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At the senior (300 or 400) level 54</w:t>
                  </w:r>
                  <w:r>
                    <w:rPr>
                      <w:rFonts w:ascii="verdana" w:hAnsi="verdana" w:cs="verdana"/>
                      <w:color w:val="000000"/>
                      <w:position w:val="-2"/>
                      <w:sz w:val="17"/>
                      <w:szCs w:val="17"/>
                    </w:rPr>
                    <w:br/>
                    <w:t xml:space="preserve">Arts (Humanities and Social Science) 66</w:t>
                  </w:r>
                  <w:r>
                    <w:rPr>
                      <w:rFonts w:ascii="verdana" w:hAnsi="verdana" w:cs="verdana"/>
                      <w:color w:val="000000"/>
                      <w:position w:val="-2"/>
                      <w:sz w:val="17"/>
                      <w:szCs w:val="17"/>
                    </w:rPr>
                    <w:br/>
                    <w:t xml:space="preserve">Humanities 12</w:t>
                  </w:r>
                  <w:r>
                    <w:rPr>
                      <w:rFonts w:ascii="verdana" w:hAnsi="verdana" w:cs="verdana"/>
                      <w:color w:val="000000"/>
                      <w:position w:val="-2"/>
                      <w:sz w:val="17"/>
                      <w:szCs w:val="17"/>
                    </w:rPr>
                    <w:br/>
                    <w:t xml:space="preserve">Science 6</w:t>
                  </w:r>
                  <w:r>
                    <w:rPr>
                      <w:rFonts w:ascii="verdana" w:hAnsi="verdana" w:cs="verdana"/>
                      <w:color w:val="000000"/>
                      <w:position w:val="-2"/>
                      <w:sz w:val="17"/>
                      <w:szCs w:val="17"/>
                    </w:rPr>
                    <w:br/>
                    <w:t xml:space="preserve">Social Science 12</w:t>
                  </w:r>
                  <w:r>
                    <w:rPr>
                      <w:rFonts w:ascii="verdana" w:hAnsi="verdana" w:cs="verdana"/>
                      <w:color w:val="000000"/>
                      <w:position w:val="-2"/>
                      <w:sz w:val="17"/>
                      <w:szCs w:val="17"/>
                    </w:rPr>
                    <w:br/>
                    <w:t xml:space="preserve">Through Athabasca University (residency requirement) 30</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Maximum Credits Allowed:</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In any one discipline 45</w:t>
                  </w:r>
                  <w:r>
                    <w:rPr>
                      <w:rFonts w:ascii="verdana" w:hAnsi="verdana" w:cs="verdana"/>
                      <w:color w:val="000000"/>
                      <w:position w:val="-2"/>
                      <w:sz w:val="17"/>
                      <w:szCs w:val="17"/>
                    </w:rPr>
                    <w:br/>
                    <w:t xml:space="preserve">Applied Studies and/or Science 24</w:t>
                  </w:r>
                  <w:r>
                    <w:rPr>
                      <w:rFonts w:ascii="verdana" w:hAnsi="verdana" w:cs="verdana"/>
                      <w:color w:val="000000"/>
                      <w:position w:val="-2"/>
                      <w:sz w:val="17"/>
                      <w:szCs w:val="17"/>
                    </w:rPr>
                    <w:br/>
                    <w:t xml:space="preserve">At the junior (200) level 36</w:t>
                  </w:r>
                  <w:r>
                    <w:rPr>
                      <w:rFonts w:ascii="verdana" w:hAnsi="verdana" w:cs="verdana"/>
                      <w:color w:val="000000"/>
                      <w:position w:val="-2"/>
                      <w:sz w:val="17"/>
                      <w:szCs w:val="17"/>
                    </w:rPr>
                    <w:br/>
                    <w:t xml:space="preserve">At the preparatory (100) level 6</w:t>
                  </w:r>
                  <w:r>
                    <w:rPr>
                      <w:rFonts w:ascii="verdana" w:hAnsi="verdana" w:cs="verdana"/>
                      <w:color w:val="000000"/>
                      <w:position w:val="-2"/>
                      <w:sz w:val="17"/>
                      <w:szCs w:val="17"/>
                    </w:rPr>
                    <w:br/>
                    <w:t xml:space="preserve">At the junior level in one discipline 15</w:t>
                  </w:r>
                  <w:r>
                    <w:rPr>
                      <w:rFonts w:ascii="verdana" w:hAnsi="verdana" w:cs="verdana"/>
                      <w:color w:val="000000"/>
                      <w:position w:val="-2"/>
                      <w:sz w:val="17"/>
                      <w:szCs w:val="17"/>
                    </w:rPr>
                    <w:br/>
                    <w:t xml:space="preserve">Maximum Prior Learning Assessment and Recognition (PLAR) credits 6*</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A maximum of 30 PLAR credits are allowed if you choose the Labour Studies concentration.</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Notes:</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The following courses can satisfy either the Social Science area of study or the Science area of study requirements, but not both. To use these courses to satisfy the Science area of study requirements, students must call Admissions and Evaluations Services, on completion of the course, and request the change.</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ENVS253/GLST253 Global Environmental Change: The Scientific and Social Issues (3)</w:t>
                  </w:r>
                  <w:hyperlink r:id="rId1531f6e4ef1952" w:history="1">
                    <w:r>
                      <w:rPr>
                        <w:rFonts w:ascii="verdana" w:hAnsi="verdana" w:cs="verdana"/>
                        <w:color w:val="006600"/>
                        <w:position w:val="-2"/>
                        <w:sz w:val="17"/>
                        <w:szCs w:val="17"/>
                      </w:rPr>
                      <w:br/>
                      <w:t xml:space="preserve">PSYC289</w:t>
                    </w:r>
                  </w:hyperlink>
                  <w:r>
                    <w:rPr>
                      <w:rFonts w:ascii="verdana" w:hAnsi="verdana" w:cs="verdana"/>
                      <w:color w:val="000000"/>
                      <w:position w:val="-2"/>
                      <w:sz w:val="17"/>
                      <w:szCs w:val="17"/>
                    </w:rPr>
                    <w:t xml:space="preserve"> Psychology as a Natural Science (3)</w:t>
                  </w:r>
                  <w:hyperlink r:id="rId1531f6e4ef1a73" w:history="1">
                    <w:r>
                      <w:rPr>
                        <w:rFonts w:ascii="verdana" w:hAnsi="verdana" w:cs="verdana"/>
                        <w:color w:val="006600"/>
                        <w:position w:val="-2"/>
                        <w:sz w:val="17"/>
                        <w:szCs w:val="17"/>
                      </w:rPr>
                      <w:br/>
                      <w:t xml:space="preserve">PSYC355</w:t>
                    </w:r>
                  </w:hyperlink>
                  <w:r>
                    <w:rPr>
                      <w:rFonts w:ascii="verdana" w:hAnsi="verdana" w:cs="verdana"/>
                      <w:color w:val="000000"/>
                      <w:position w:val="-2"/>
                      <w:sz w:val="17"/>
                      <w:szCs w:val="17"/>
                    </w:rPr>
                    <w:t xml:space="preserve"> Cognitive Psychology (3)</w:t>
                  </w:r>
                  <w:hyperlink r:id="rId1531f6e4ef1b94" w:history="1">
                    <w:r>
                      <w:rPr>
                        <w:rFonts w:ascii="verdana" w:hAnsi="verdana" w:cs="verdana"/>
                        <w:color w:val="006600"/>
                        <w:position w:val="-2"/>
                        <w:sz w:val="17"/>
                        <w:szCs w:val="17"/>
                      </w:rPr>
                      <w:br/>
                      <w:t xml:space="preserve">PSYC387</w:t>
                    </w:r>
                  </w:hyperlink>
                  <w:r>
                    <w:rPr>
                      <w:rFonts w:ascii="verdana" w:hAnsi="verdana" w:cs="verdana"/>
                      <w:color w:val="000000"/>
                      <w:position w:val="-2"/>
                      <w:sz w:val="17"/>
                      <w:szCs w:val="17"/>
                    </w:rPr>
                    <w:t xml:space="preserve"> Learning (3)</w:t>
                  </w:r>
                  <w:hyperlink r:id="rId1531f6e4ef1cb2" w:history="1">
                    <w:r>
                      <w:rPr>
                        <w:rFonts w:ascii="verdana" w:hAnsi="verdana" w:cs="verdana"/>
                        <w:color w:val="006600"/>
                        <w:position w:val="-2"/>
                        <w:sz w:val="17"/>
                        <w:szCs w:val="17"/>
                      </w:rPr>
                      <w:br/>
                      <w:t xml:space="preserve">PSYC402</w:t>
                    </w:r>
                  </w:hyperlink>
                  <w:r>
                    <w:rPr>
                      <w:rFonts w:ascii="verdana" w:hAnsi="verdana" w:cs="verdana"/>
                      <w:color w:val="000000"/>
                      <w:position w:val="-2"/>
                      <w:sz w:val="17"/>
                      <w:szCs w:val="17"/>
                    </w:rPr>
                    <w:t xml:space="preserve"> Biological Psychology (3)</w:t>
                  </w:r>
                  <w:hyperlink r:id="rId1531f6e4ef1dd2" w:history="1">
                    <w:r>
                      <w:rPr>
                        <w:rFonts w:ascii="verdana" w:hAnsi="verdana" w:cs="verdana"/>
                        <w:color w:val="006600"/>
                        <w:position w:val="-2"/>
                        <w:sz w:val="17"/>
                        <w:szCs w:val="17"/>
                      </w:rPr>
                      <w:br/>
                      <w:t xml:space="preserve">PSYC304</w:t>
                    </w:r>
                  </w:hyperlink>
                  <w:r>
                    <w:rPr>
                      <w:rFonts w:ascii="verdana" w:hAnsi="verdana" w:cs="verdana"/>
                      <w:color w:val="000000"/>
                      <w:position w:val="-2"/>
                      <w:sz w:val="17"/>
                      <w:szCs w:val="17"/>
                    </w:rPr>
                    <w:t xml:space="preserve"> Research Methods in Psychology *</w:t>
                  </w:r>
                </w:p>
                <w:p>
                  <w:pPr>
                    <w:widowControl w:val="on"/>
                    <w:pBdr/>
                    <w:spacing w:before="168" w:after="168" w:line="168" w:lineRule="auto"/>
                    <w:ind w:left="0" w:right="0"/>
                    <w:jc w:val="left"/>
                    <w:textAlignment w:val="center"/>
                  </w:pPr>
                  <w:r>
                    <w:rPr>
                      <w:rFonts w:ascii="verdana" w:hAnsi="verdana" w:cs="verdana"/>
                      <w:color w:val="000000"/>
                      <w:position w:val="-2"/>
                      <w:sz w:val="17"/>
                      <w:szCs w:val="17"/>
                    </w:rPr>
                    <w:t xml:space="preserve">* Students who have taken PSYC404 are not required to take </w:t>
                  </w:r>
                  <w:hyperlink r:id="rId1531f6e4ef1f95" w:history="1">
                    <w:r>
                      <w:rPr>
                        <w:rFonts w:ascii="verdana" w:hAnsi="verdana" w:cs="verdana"/>
                        <w:color w:val="006600"/>
                        <w:position w:val="-2"/>
                        <w:sz w:val="17"/>
                        <w:szCs w:val="17"/>
                      </w:rPr>
                      <w:t xml:space="preserve">PSYC304</w:t>
                    </w:r>
                  </w:hyperlink>
                  <w:r>
                    <w:rPr>
                      <w:rFonts w:ascii="verdana" w:hAnsi="verdana" w:cs="verdana"/>
                      <w:color w:val="000000"/>
                      <w:position w:val="-2"/>
                      <w:sz w:val="17"/>
                      <w:szCs w:val="17"/>
                    </w:rPr>
                    <w:t xml:space="preserve"> (3)</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6e4ee1d2e" Type="http://schemas.openxmlformats.org/officeDocument/2006/relationships/hyperlink" Target="http://calendar.athabascau.ca/undergrad/2007/page03_04.html" TargetMode="External"/><Relationship Id="rId1531f6e4ee1e69" Type="http://schemas.openxmlformats.org/officeDocument/2006/relationships/hyperlink" Target="../../index.php" TargetMode="External"/><Relationship Id="rId1531f6e4ee1f8a" Type="http://schemas.openxmlformats.org/officeDocument/2006/relationships/hyperlink" Target="../07%20index%20files/pplans07.php" TargetMode="External"/><Relationship Id="rId1531f6e4ee20a8" Type="http://schemas.openxmlformats.org/officeDocument/2006/relationships/hyperlink" Target="http://calendar.athabascau.ca/undergrad/2007/page12.html" TargetMode="External"/><Relationship Id="rId1531f6e4ee22e3" Type="http://schemas.openxmlformats.org/officeDocument/2006/relationships/hyperlink" Target="http://calendar.athabascau.ca/undergrad/2007/page03_04.html" TargetMode="External"/><Relationship Id="rId1531f6e4ee31dc" Type="http://schemas.openxmlformats.org/officeDocument/2006/relationships/hyperlink" Target="http://www.athabascau.ca/html/syllabi/engl/engl255.htm" TargetMode="External"/><Relationship Id="rId1531f6e4ee3c2a" Type="http://schemas.openxmlformats.org/officeDocument/2006/relationships/hyperlink" Target="http://www.athabascau.ca/course/ug_area/social.php" TargetMode="External"/><Relationship Id="rId1531f6e4ee42b7" Type="http://schemas.openxmlformats.org/officeDocument/2006/relationships/hyperlink" Target="http://www.athabascau.ca/course/ug_area/social.php" TargetMode="External"/><Relationship Id="rId1531f6e4ee4938" Type="http://schemas.openxmlformats.org/officeDocument/2006/relationships/hyperlink" Target="http://www.athabascau.ca/course/ug_area/social.php" TargetMode="External"/><Relationship Id="rId1531f6e4ee4fa8" Type="http://schemas.openxmlformats.org/officeDocument/2006/relationships/hyperlink" Target="http://www.athabascau.ca/course/ug_area/social.php" TargetMode="External"/><Relationship Id="rId1531f6e4ee562c" Type="http://schemas.openxmlformats.org/officeDocument/2006/relationships/hyperlink" Target="http://www.athabascau.ca/course/ug_area/humanities.php" TargetMode="External"/><Relationship Id="rId1531f6e4ee5ca7" Type="http://schemas.openxmlformats.org/officeDocument/2006/relationships/hyperlink" Target="http://www.athabascau.ca/course/ug_area/humanities.php" TargetMode="External"/><Relationship Id="rId1531f6e4ee6320" Type="http://schemas.openxmlformats.org/officeDocument/2006/relationships/hyperlink" Target="http://www.athabascau.ca/course/ug_area/humanities.php" TargetMode="External"/><Relationship Id="rId1531f6e4ee6999" Type="http://schemas.openxmlformats.org/officeDocument/2006/relationships/hyperlink" Target="http://www.athabascau.ca/course/ug_area/humanities.php" TargetMode="External"/><Relationship Id="rId1531f6e4ee701c" Type="http://schemas.openxmlformats.org/officeDocument/2006/relationships/hyperlink" Target="http://www.athabascau.ca/course/ug_area/science.php" TargetMode="External"/><Relationship Id="rId1531f6e4ee768c" Type="http://schemas.openxmlformats.org/officeDocument/2006/relationships/hyperlink" Target="http://www.athabascau.ca/course/ug_area/science.php" TargetMode="External"/><Relationship Id="rId1531f6e4ee8329" Type="http://schemas.openxmlformats.org/officeDocument/2006/relationships/hyperlink" Target="http://www.athabascau.ca/course/ug_area/humanities.php" TargetMode="External"/><Relationship Id="rId1531f6e4ee8433" Type="http://schemas.openxmlformats.org/officeDocument/2006/relationships/hyperlink" Target="http://www.athabascau.ca/course/ug_area/social.php" TargetMode="External"/><Relationship Id="rId1531f6e4ee8ace" Type="http://schemas.openxmlformats.org/officeDocument/2006/relationships/hyperlink" Target="http://www.athabascau.ca/course/ug_area/humanities.php" TargetMode="External"/><Relationship Id="rId1531f6e4ee8be2" Type="http://schemas.openxmlformats.org/officeDocument/2006/relationships/hyperlink" Target="http://www.athabascau.ca/course/ug_area/social.php" TargetMode="External"/><Relationship Id="rId1531f6e4ee92a7" Type="http://schemas.openxmlformats.org/officeDocument/2006/relationships/hyperlink" Target="http://www.athabascau.ca/course/ug_area/humanities.php" TargetMode="External"/><Relationship Id="rId1531f6e4ee93bc" Type="http://schemas.openxmlformats.org/officeDocument/2006/relationships/hyperlink" Target="http://www.athabascau.ca/course/ug_area/social.php" TargetMode="External"/><Relationship Id="rId1531f6e4ee9a8d" Type="http://schemas.openxmlformats.org/officeDocument/2006/relationships/hyperlink" Target="http://www.athabascau.ca/course/ug_area/humanities.php" TargetMode="External"/><Relationship Id="rId1531f6e4ee9bb8" Type="http://schemas.openxmlformats.org/officeDocument/2006/relationships/hyperlink" Target="http://www.athabascau.ca/course/ug_area/social.php" TargetMode="External"/><Relationship Id="rId1531f6e4eea29a" Type="http://schemas.openxmlformats.org/officeDocument/2006/relationships/hyperlink" Target="http://www.athabascau.ca/course/ug_area/humanities.php" TargetMode="External"/><Relationship Id="rId1531f6e4eea3a7" Type="http://schemas.openxmlformats.org/officeDocument/2006/relationships/hyperlink" Target="http://www.athabascau.ca/course/ug_area/social.php" TargetMode="External"/><Relationship Id="rId1531f6e4eeaa82" Type="http://schemas.openxmlformats.org/officeDocument/2006/relationships/hyperlink" Target="http://www.athabascau.ca/course/ug_area/humanities.php" TargetMode="External"/><Relationship Id="rId1531f6e4eeab94" Type="http://schemas.openxmlformats.org/officeDocument/2006/relationships/hyperlink" Target="http://www.athabascau.ca/course/ug_area/social.php" TargetMode="External"/><Relationship Id="rId1531f6e4eeb269" Type="http://schemas.openxmlformats.org/officeDocument/2006/relationships/hyperlink" Target="http://www.athabascau.ca/course/ug_area/humanities.php" TargetMode="External"/><Relationship Id="rId1531f6e4eeb378" Type="http://schemas.openxmlformats.org/officeDocument/2006/relationships/hyperlink" Target="http://www.athabascau.ca/course/ug_area/social.php" TargetMode="External"/><Relationship Id="rId1531f6e4eeba57" Type="http://schemas.openxmlformats.org/officeDocument/2006/relationships/hyperlink" Target="http://www.athabascau.ca/course/ug_area/humanities.php" TargetMode="External"/><Relationship Id="rId1531f6e4eebb68" Type="http://schemas.openxmlformats.org/officeDocument/2006/relationships/hyperlink" Target="http://www.athabascau.ca/course/ug_area/social.php" TargetMode="External"/><Relationship Id="rId1531f6e4eec241" Type="http://schemas.openxmlformats.org/officeDocument/2006/relationships/hyperlink" Target="http://www.athabascau.ca/course/ug_area/humanities.php" TargetMode="External"/><Relationship Id="rId1531f6e4eec356" Type="http://schemas.openxmlformats.org/officeDocument/2006/relationships/hyperlink" Target="http://www.athabascau.ca/course/ug_area/social.php" TargetMode="External"/><Relationship Id="rId1531f6e4eeca2f" Type="http://schemas.openxmlformats.org/officeDocument/2006/relationships/hyperlink" Target="http://www.athabascau.ca/course/ug_area/humanities.php" TargetMode="External"/><Relationship Id="rId1531f6e4eecb3c" Type="http://schemas.openxmlformats.org/officeDocument/2006/relationships/hyperlink" Target="http://www.athabascau.ca/course/ug_area/social.php" TargetMode="External"/><Relationship Id="rId1531f6e4eed219" Type="http://schemas.openxmlformats.org/officeDocument/2006/relationships/hyperlink" Target="http://www.athabascau.ca/course/ug_area/humanities.php" TargetMode="External"/><Relationship Id="rId1531f6e4eed32b" Type="http://schemas.openxmlformats.org/officeDocument/2006/relationships/hyperlink" Target="http://www.athabascau.ca/course/ug_area/social.php" TargetMode="External"/><Relationship Id="rId1531f6e4eeda06" Type="http://schemas.openxmlformats.org/officeDocument/2006/relationships/hyperlink" Target="http://www.athabascau.ca/course/ug_area/humanities.php" TargetMode="External"/><Relationship Id="rId1531f6e4eedb15" Type="http://schemas.openxmlformats.org/officeDocument/2006/relationships/hyperlink" Target="http://www.athabascau.ca/course/ug_area/social.php" TargetMode="External"/><Relationship Id="rId1531f6e4eee1e9" Type="http://schemas.openxmlformats.org/officeDocument/2006/relationships/hyperlink" Target="http://www.athabascau.ca/course/ug_area/humanities.php" TargetMode="External"/><Relationship Id="rId1531f6e4eee2f4" Type="http://schemas.openxmlformats.org/officeDocument/2006/relationships/hyperlink" Target="http://www.athabascau.ca/course/ug_area/social.php" TargetMode="External"/><Relationship Id="rId1531f6e4eee9c1" Type="http://schemas.openxmlformats.org/officeDocument/2006/relationships/hyperlink" Target="http://www.athabascau.ca/course/ug_area/humanities.php" TargetMode="External"/><Relationship Id="rId1531f6e4eeeacf" Type="http://schemas.openxmlformats.org/officeDocument/2006/relationships/hyperlink" Target="http://www.athabascau.ca/course/ug_area/social.php" TargetMode="External"/><Relationship Id="rId1531f6e4ef0be6" Type="http://schemas.openxmlformats.org/officeDocument/2006/relationships/hyperlink" Target="http://calendar.athabascau.ca/undergrad/2007/page03_04.html" TargetMode="External"/><Relationship Id="rId1531f6e4ef1952" Type="http://schemas.openxmlformats.org/officeDocument/2006/relationships/hyperlink" Target="http://www.athabascau.ca/html/syllabi/psyc/psyc289.htm" TargetMode="External"/><Relationship Id="rId1531f6e4ef1a73" Type="http://schemas.openxmlformats.org/officeDocument/2006/relationships/hyperlink" Target="http://www.athabascau.ca/html/syllabi/psyc/psyc355.htm" TargetMode="External"/><Relationship Id="rId1531f6e4ef1b94" Type="http://schemas.openxmlformats.org/officeDocument/2006/relationships/hyperlink" Target="http://www.athabascau.ca/html/syllabi/psyc/psyc387.htm" TargetMode="External"/><Relationship Id="rId1531f6e4ef1cb2" Type="http://schemas.openxmlformats.org/officeDocument/2006/relationships/hyperlink" Target="http://www.athabascau.ca/html/syllabi/psyc/psyc402.htm" TargetMode="External"/><Relationship Id="rId1531f6e4ef1dd2" Type="http://schemas.openxmlformats.org/officeDocument/2006/relationships/hyperlink" Target="http://www.athabascau.ca/html/syllabi/psyc/psyc304.htm" TargetMode="External"/><Relationship Id="rId1531f6e4ef1f95" Type="http://schemas.openxmlformats.org/officeDocument/2006/relationships/hyperlink" Target="http://www.athabascau.ca/html/syllabi/psyc/psyc304.htm" TargetMode="External"/><Relationship Id="rId1531f6e4ee1a66" Type="http://schemas.openxmlformats.org/officeDocument/2006/relationships/image" Target="media/imgrId1531f6e4ee1a6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